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2AA9" w14:textId="77777777" w:rsidR="00972748" w:rsidRDefault="00972748" w:rsidP="0097274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13D8B062" w14:textId="0B5C6180" w:rsidR="00972748" w:rsidRPr="00972748" w:rsidRDefault="00972748" w:rsidP="0097274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Lymphoedema and chronic oedema course (73 hours or 90 UIs). Theoretical instruction: 16 hours or 24 UIs</w:t>
      </w:r>
    </w:p>
    <w:p w14:paraId="562D249D" w14:textId="7AF3619C" w:rsidR="004E1BFA" w:rsidRPr="004E1BFA" w:rsidRDefault="00972748" w:rsidP="0097274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Taught by a physician/lymphologist with special lymphology training.</w:t>
      </w:r>
    </w:p>
    <w:p w14:paraId="2D2AB7A8" w14:textId="77777777" w:rsidR="004E1BFA" w:rsidRDefault="004E1BFA" w:rsidP="004E1BFA">
      <w:pPr>
        <w:rPr>
          <w:rFonts w:ascii="Arial" w:hAnsi="Arial" w:cs="Arial"/>
          <w:b/>
          <w:bCs/>
          <w:color w:val="A13460"/>
          <w:sz w:val="28"/>
          <w:szCs w:val="28"/>
        </w:rPr>
      </w:pPr>
    </w:p>
    <w:p w14:paraId="1A5F222D" w14:textId="77777777" w:rsidR="004E1BFA" w:rsidRDefault="004E1BFA" w:rsidP="004E1BFA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  <w:sectPr w:rsidR="004E1BFA" w:rsidSect="00972748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2672" w:right="821" w:bottom="1440" w:left="873" w:header="436" w:footer="720" w:gutter="0"/>
          <w:cols w:space="720"/>
          <w:titlePg/>
          <w:docGrid w:linePitch="360"/>
        </w:sectPr>
      </w:pPr>
    </w:p>
    <w:p w14:paraId="58A1EBF4" w14:textId="5DBA4475" w:rsidR="004E1BFA" w:rsidRPr="00972748" w:rsidRDefault="00972748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LYMPHOOEDEMA</w:t>
      </w:r>
      <w:r w:rsidR="004E1BFA" w:rsidRPr="00972748">
        <w:rPr>
          <w:rFonts w:ascii="Arial" w:hAnsi="Arial" w:cs="Arial"/>
          <w:b/>
          <w:bCs/>
          <w:color w:val="8F224F"/>
          <w:sz w:val="19"/>
          <w:szCs w:val="19"/>
        </w:rPr>
        <w:t>:</w:t>
      </w:r>
      <w:r w:rsidR="00BE4E46" w:rsidRPr="00972748">
        <w:rPr>
          <w:rFonts w:ascii="Arial" w:hAnsi="Arial" w:cs="Arial"/>
          <w:b/>
          <w:bCs/>
          <w:color w:val="8F224F"/>
          <w:sz w:val="19"/>
          <w:szCs w:val="19"/>
        </w:rPr>
        <w:br/>
      </w:r>
    </w:p>
    <w:p w14:paraId="0F8EF176" w14:textId="06500D4F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Diagnostics of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lymphooedema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, lymphoscintigraphy, indirect and direct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lymphograpy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, patent blue test, Stemmer’s sign, primary lymphoedema and its pathophysiology, secondary lymphoedema and its pathophysiology, malignant lymphoedema, MLD and </w:t>
      </w:r>
      <w:proofErr w:type="spellStart"/>
      <w:proofErr w:type="gramStart"/>
      <w:r w:rsidRPr="00972748">
        <w:rPr>
          <w:rFonts w:ascii="Arial" w:hAnsi="Arial" w:cs="Arial"/>
          <w:color w:val="000000"/>
          <w:sz w:val="19"/>
          <w:szCs w:val="19"/>
        </w:rPr>
        <w:t>metastatization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>;</w:t>
      </w:r>
      <w:proofErr w:type="gramEnd"/>
    </w:p>
    <w:p w14:paraId="4A451E70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14:paraId="79D1E261" w14:textId="01DFD3C4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Risks and prevention of oedema, oedema fact sheets;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27DE2800" w14:textId="455312ED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Compression therapy of lymphoedema using</w:t>
      </w:r>
      <w:r w:rsidRPr="00972748">
        <w:rPr>
          <w:rFonts w:ascii="Arial" w:hAnsi="Arial" w:cs="Arial"/>
          <w:color w:val="000000"/>
          <w:sz w:val="19"/>
          <w:szCs w:val="19"/>
        </w:rPr>
        <w:br/>
        <w:t xml:space="preserve">bandaging, stockings and compression </w:t>
      </w:r>
      <w:proofErr w:type="gramStart"/>
      <w:r w:rsidRPr="00972748">
        <w:rPr>
          <w:rFonts w:ascii="Arial" w:hAnsi="Arial" w:cs="Arial"/>
          <w:color w:val="000000"/>
          <w:sz w:val="19"/>
          <w:szCs w:val="19"/>
        </w:rPr>
        <w:t>devices;</w:t>
      </w:r>
      <w:proofErr w:type="gramEnd"/>
    </w:p>
    <w:p w14:paraId="7E489AB1" w14:textId="77777777" w:rsidR="00972748" w:rsidRPr="00972748" w:rsidRDefault="00972748" w:rsidP="00972748">
      <w:pPr>
        <w:pStyle w:val="ListParagraph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</w:p>
    <w:p w14:paraId="1A3C4390" w14:textId="14F8A649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Surgical interventions in lymphoedema;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7D051B7D" w14:textId="6E99B832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Complications in lymphoedema such as erysipelas, lymph vesicles, lymphatic fistulas, lymphocele, lymphogenic ulcers, protein fibroses, interdigital mycoses, papillomatosis cutis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lymphostatica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>, Stewart- Treves syndrome = angiosarcoma;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6FF526BB" w14:textId="1F09D9A1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Lymphoedema and pregnancy;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2ADBBC63" w14:textId="79DBFD6A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Radiation injury in combination with lymphoedema;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1CC55A4C" w14:textId="5A25DEAA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Radiation dermatitis, radiation fibrosis,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radiofibrotic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 plexus injury, radiation injury of other organs;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7D070F58" w14:textId="12E4AA24" w:rsidR="00972748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Outpatient and inpatient lymphology treatment and results in lymphoedema.</w:t>
      </w:r>
      <w:r w:rsidRPr="00972748">
        <w:rPr>
          <w:rFonts w:ascii="Arial" w:hAnsi="Arial" w:cs="Arial"/>
          <w:color w:val="000000"/>
          <w:sz w:val="19"/>
          <w:szCs w:val="19"/>
        </w:rPr>
        <w:br/>
      </w:r>
    </w:p>
    <w:p w14:paraId="34605E4D" w14:textId="31008BFC" w:rsidR="004E1BFA" w:rsidRPr="00972748" w:rsidRDefault="00972748" w:rsidP="0097274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Face lymphoedema after neck dissection. </w:t>
      </w:r>
      <w:r w:rsidR="004E1BFA" w:rsidRPr="00972748">
        <w:rPr>
          <w:rFonts w:ascii="Arial" w:hAnsi="Arial" w:cs="Arial"/>
          <w:color w:val="FFFFFF"/>
          <w:sz w:val="19"/>
          <w:szCs w:val="19"/>
        </w:rPr>
        <w:t>INTEGRATIVE HEALTH &amp; MLD TRAINING</w:t>
      </w:r>
    </w:p>
    <w:p w14:paraId="0C4AA756" w14:textId="387A41CF" w:rsidR="00972748" w:rsidRPr="00972748" w:rsidRDefault="00972748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ARTIFICIAL LYMPHOOEDEMA (SELF-INDUCED OEDEMA):</w:t>
      </w:r>
      <w:r w:rsidR="00BE4E46" w:rsidRPr="00972748">
        <w:rPr>
          <w:rFonts w:ascii="Arial" w:hAnsi="Arial" w:cs="Arial"/>
          <w:b/>
          <w:bCs/>
          <w:color w:val="8F224F"/>
          <w:sz w:val="19"/>
          <w:szCs w:val="19"/>
        </w:rPr>
        <w:br/>
      </w:r>
    </w:p>
    <w:p w14:paraId="69BF2503" w14:textId="422E7BA8" w:rsidR="004E1BFA" w:rsidRPr="00972748" w:rsidRDefault="00972748" w:rsidP="0097274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Assessment and measurement of lymphoedema.</w:t>
      </w:r>
    </w:p>
    <w:p w14:paraId="1FC7AF85" w14:textId="77777777" w:rsidR="00972748" w:rsidRPr="00972748" w:rsidRDefault="00972748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</w:p>
    <w:p w14:paraId="5EA3D8B1" w14:textId="45478E16" w:rsidR="004E1BFA" w:rsidRPr="00972748" w:rsidRDefault="00972748" w:rsidP="004E1BFA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>
        <w:rPr>
          <w:rFonts w:ascii="Arial" w:hAnsi="Arial" w:cs="Arial"/>
          <w:b/>
          <w:bCs/>
          <w:color w:val="8F224F"/>
          <w:sz w:val="19"/>
          <w:szCs w:val="19"/>
        </w:rPr>
        <w:br w:type="column"/>
      </w: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VENOUS OEDEMA:</w:t>
      </w:r>
      <w:r w:rsidR="00BE4E46" w:rsidRPr="00972748">
        <w:rPr>
          <w:rFonts w:ascii="Arial" w:hAnsi="Arial" w:cs="Arial"/>
          <w:b/>
          <w:bCs/>
          <w:color w:val="8F224F"/>
          <w:sz w:val="19"/>
          <w:szCs w:val="19"/>
        </w:rPr>
        <w:br/>
      </w:r>
    </w:p>
    <w:p w14:paraId="44324934" w14:textId="19786572" w:rsidR="00972748" w:rsidRPr="00972748" w:rsidRDefault="00972748" w:rsidP="0097274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>Anatomy of veins and pathophysiology of the venous system</w:t>
      </w:r>
      <w:r>
        <w:rPr>
          <w:rFonts w:ascii="Arial" w:hAnsi="Arial" w:cs="Arial"/>
          <w:color w:val="000000"/>
          <w:sz w:val="19"/>
          <w:szCs w:val="19"/>
        </w:rPr>
        <w:br/>
      </w:r>
    </w:p>
    <w:p w14:paraId="227252DA" w14:textId="3AD87F36" w:rsidR="00972748" w:rsidRPr="00972748" w:rsidRDefault="00972748" w:rsidP="0097274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Thromboses, thrombophlebitis, varicose veins,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ulcus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 cruris venosum</w:t>
      </w:r>
      <w:r>
        <w:rPr>
          <w:rFonts w:ascii="Arial" w:hAnsi="Arial" w:cs="Arial"/>
          <w:color w:val="000000"/>
          <w:sz w:val="19"/>
          <w:szCs w:val="19"/>
        </w:rPr>
        <w:br/>
      </w:r>
    </w:p>
    <w:p w14:paraId="4677F27D" w14:textId="07867826" w:rsidR="00BE4E46" w:rsidRPr="00972748" w:rsidRDefault="00972748" w:rsidP="0097274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9"/>
          <w:szCs w:val="19"/>
        </w:rPr>
      </w:pPr>
      <w:r w:rsidRPr="00972748">
        <w:rPr>
          <w:rFonts w:ascii="Arial" w:hAnsi="Arial" w:cs="Arial"/>
          <w:color w:val="000000"/>
          <w:sz w:val="19"/>
          <w:szCs w:val="19"/>
        </w:rPr>
        <w:t xml:space="preserve">Compression therapy in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phleboedema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phleboedema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>/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ulcus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 cruris/</w:t>
      </w:r>
      <w:proofErr w:type="spellStart"/>
      <w:r w:rsidRPr="00972748">
        <w:rPr>
          <w:rFonts w:ascii="Arial" w:hAnsi="Arial" w:cs="Arial"/>
          <w:color w:val="000000"/>
          <w:sz w:val="19"/>
          <w:szCs w:val="19"/>
        </w:rPr>
        <w:t>phlebolymphoedema</w:t>
      </w:r>
      <w:proofErr w:type="spellEnd"/>
      <w:r w:rsidRPr="00972748">
        <w:rPr>
          <w:rFonts w:ascii="Arial" w:hAnsi="Arial" w:cs="Arial"/>
          <w:color w:val="000000"/>
          <w:sz w:val="19"/>
          <w:szCs w:val="19"/>
        </w:rPr>
        <w:t xml:space="preserve"> as indications for MLD.</w:t>
      </w:r>
    </w:p>
    <w:p w14:paraId="777B12C8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</w:p>
    <w:p w14:paraId="5611A003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POST-TRAUMATIC OEDEMA / POST-OPERATIVE</w:t>
      </w:r>
    </w:p>
    <w:p w14:paraId="287C8E02" w14:textId="7D34770A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19"/>
          <w:szCs w:val="19"/>
        </w:rPr>
      </w:pPr>
      <w:r w:rsidRPr="00972748">
        <w:rPr>
          <w:rFonts w:ascii="Arial" w:hAnsi="Arial" w:cs="Arial"/>
          <w:b/>
          <w:bCs/>
          <w:color w:val="8F224F"/>
          <w:sz w:val="19"/>
          <w:szCs w:val="19"/>
        </w:rPr>
        <w:t>OEDEMA/ PERI-OPERATIVE OEDEMA:</w:t>
      </w:r>
      <w:r w:rsidRPr="00972748">
        <w:rPr>
          <w:rFonts w:ascii="Arial" w:hAnsi="Arial" w:cs="Arial"/>
          <w:b/>
          <w:bCs/>
          <w:color w:val="8F224F"/>
          <w:sz w:val="19"/>
          <w:szCs w:val="19"/>
        </w:rPr>
        <w:br/>
      </w:r>
    </w:p>
    <w:p w14:paraId="6FC33E2C" w14:textId="30351FD6" w:rsidR="00972748" w:rsidRPr="00972748" w:rsidRDefault="00972748" w:rsidP="0097274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In fractures, contusions, distortions, sprains, dislocations, pain, postoperative oedema and hematoma as well as oedema in burns.</w:t>
      </w:r>
      <w:r w:rsidRPr="00972748">
        <w:rPr>
          <w:rFonts w:ascii="Arial" w:hAnsi="Arial" w:cs="Arial"/>
          <w:color w:val="000000" w:themeColor="text1"/>
          <w:sz w:val="19"/>
          <w:szCs w:val="19"/>
        </w:rPr>
        <w:br/>
      </w:r>
    </w:p>
    <w:p w14:paraId="3C0302D5" w14:textId="77777777" w:rsidR="00BE4E46" w:rsidRPr="00972748" w:rsidRDefault="00972748" w:rsidP="0097274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/>
        <w:rPr>
          <w:rFonts w:ascii="Arial" w:hAnsi="Arial" w:cs="Arial"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Pathophysiology and role of MLD and other accompanying therapies.</w:t>
      </w:r>
    </w:p>
    <w:p w14:paraId="35ADFC78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26E601DE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46854183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19"/>
          <w:szCs w:val="19"/>
        </w:rPr>
      </w:pPr>
      <w:r w:rsidRPr="00972748">
        <w:rPr>
          <w:rFonts w:ascii="Arial" w:hAnsi="Arial" w:cs="Arial"/>
          <w:b/>
          <w:bCs/>
          <w:color w:val="A13460"/>
          <w:sz w:val="19"/>
          <w:szCs w:val="19"/>
        </w:rPr>
        <w:t>REFLEX SYMPATHETIC DYSTROPHY = SUDECK’S DISEASE (COMPLEX REGIONAL PAIN SYNDROME)</w:t>
      </w:r>
    </w:p>
    <w:p w14:paraId="566CF320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6295A047" w14:textId="1E950852" w:rsidR="00972748" w:rsidRPr="00972748" w:rsidRDefault="00972748" w:rsidP="0097274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Pathophysiology, manifestations, medical therapy and</w:t>
      </w:r>
      <w:r w:rsidRPr="00972748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972748">
        <w:rPr>
          <w:rFonts w:ascii="Arial" w:hAnsi="Arial" w:cs="Arial"/>
          <w:color w:val="000000" w:themeColor="text1"/>
          <w:sz w:val="19"/>
          <w:szCs w:val="19"/>
        </w:rPr>
        <w:t>MLD as supplementary treatment.</w:t>
      </w:r>
    </w:p>
    <w:p w14:paraId="4A4C78E5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2132A1C1" w14:textId="49973EAE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19"/>
          <w:szCs w:val="19"/>
        </w:rPr>
      </w:pPr>
      <w:r w:rsidRPr="00972748">
        <w:rPr>
          <w:rFonts w:ascii="Arial" w:hAnsi="Arial" w:cs="Arial"/>
          <w:b/>
          <w:bCs/>
          <w:color w:val="A13460"/>
          <w:sz w:val="19"/>
          <w:szCs w:val="19"/>
        </w:rPr>
        <w:t>OEDEMA CAUSED BY PHYSICAL INACTIVITY:</w:t>
      </w:r>
    </w:p>
    <w:p w14:paraId="748512BE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2E743A69" w14:textId="4DF2BE8D" w:rsidR="00972748" w:rsidRPr="00972748" w:rsidRDefault="00972748" w:rsidP="0097274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19"/>
          <w:szCs w:val="19"/>
        </w:r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Pathophysiology, role of MLD.</w:t>
      </w:r>
    </w:p>
    <w:p w14:paraId="031EEE70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3BF1AB0E" w14:textId="6522CCFD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19"/>
          <w:szCs w:val="19"/>
        </w:rPr>
      </w:pPr>
      <w:r w:rsidRPr="00972748">
        <w:rPr>
          <w:rFonts w:ascii="Arial" w:hAnsi="Arial" w:cs="Arial"/>
          <w:b/>
          <w:bCs/>
          <w:color w:val="A13460"/>
          <w:sz w:val="19"/>
          <w:szCs w:val="19"/>
        </w:rPr>
        <w:t>OEDEMA IN ARTERIAL CIRCULATORY PROBLEMS:</w:t>
      </w:r>
    </w:p>
    <w:p w14:paraId="2E47F46A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9"/>
          <w:szCs w:val="19"/>
        </w:rPr>
      </w:pPr>
    </w:p>
    <w:p w14:paraId="13BB807D" w14:textId="7B60090B" w:rsidR="00972748" w:rsidRPr="00972748" w:rsidRDefault="00972748" w:rsidP="00972748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 w:themeColor="text1"/>
          <w:sz w:val="19"/>
          <w:szCs w:val="19"/>
        </w:rPr>
        <w:sectPr w:rsidR="00972748" w:rsidRPr="00972748" w:rsidSect="00972748">
          <w:type w:val="continuous"/>
          <w:pgSz w:w="11900" w:h="16840"/>
          <w:pgMar w:top="2672" w:right="821" w:bottom="1440" w:left="873" w:header="436" w:footer="720" w:gutter="0"/>
          <w:cols w:num="2" w:space="720"/>
          <w:titlePg/>
          <w:docGrid w:linePitch="360"/>
        </w:sectPr>
      </w:pPr>
      <w:r w:rsidRPr="00972748">
        <w:rPr>
          <w:rFonts w:ascii="Arial" w:hAnsi="Arial" w:cs="Arial"/>
          <w:color w:val="000000" w:themeColor="text1"/>
          <w:sz w:val="19"/>
          <w:szCs w:val="19"/>
        </w:rPr>
        <w:t>Pathophysiology, gangrene, indication for and limits of MLD and compression therapy</w:t>
      </w:r>
    </w:p>
    <w:p w14:paraId="09322FF2" w14:textId="77777777" w:rsidR="00BE4E46" w:rsidRDefault="00BE4E46">
      <w:pPr>
        <w:rPr>
          <w:rFonts w:ascii="Arial" w:hAnsi="Arial" w:cs="Arial"/>
          <w:b/>
          <w:bCs/>
          <w:color w:val="717F86"/>
          <w:sz w:val="28"/>
          <w:szCs w:val="28"/>
        </w:rPr>
        <w:sectPr w:rsidR="00BE4E46" w:rsidSect="00BE4E46">
          <w:headerReference w:type="first" r:id="rId11"/>
          <w:type w:val="nextColumn"/>
          <w:pgSz w:w="11900" w:h="16840"/>
          <w:pgMar w:top="2183" w:right="822" w:bottom="1440" w:left="873" w:header="493" w:footer="720" w:gutter="0"/>
          <w:cols w:num="2" w:space="720"/>
          <w:titlePg/>
          <w:docGrid w:linePitch="360"/>
        </w:sectPr>
      </w:pPr>
    </w:p>
    <w:p w14:paraId="5230E0A7" w14:textId="77777777" w:rsidR="00972748" w:rsidRDefault="00972748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31B7B9C3" w14:textId="77777777" w:rsidR="00972748" w:rsidRDefault="00972748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</w:p>
    <w:p w14:paraId="0B6D3B08" w14:textId="13D3718C" w:rsidR="00BE4E46" w:rsidRPr="00BE4E46" w:rsidRDefault="00972748" w:rsidP="00BE4E46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LIPOEDEMA</w:t>
      </w:r>
      <w:r w:rsidR="00BE4E46" w:rsidRPr="00BE4E46"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71353F7E" w14:textId="2D4752AE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 xml:space="preserve">Distinction between adiposity, </w:t>
      </w:r>
      <w:proofErr w:type="spellStart"/>
      <w:r w:rsidRPr="00972748">
        <w:rPr>
          <w:rFonts w:ascii="Arial" w:hAnsi="Arial" w:cs="Arial"/>
          <w:color w:val="000000"/>
          <w:sz w:val="20"/>
          <w:szCs w:val="20"/>
        </w:rPr>
        <w:t>lipohypertrophy</w:t>
      </w:r>
      <w:proofErr w:type="spellEnd"/>
      <w:r w:rsidRPr="0097274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 xml:space="preserve">lipoedema and </w:t>
      </w:r>
      <w:proofErr w:type="spellStart"/>
      <w:r w:rsidRPr="00972748">
        <w:rPr>
          <w:rFonts w:ascii="Arial" w:hAnsi="Arial" w:cs="Arial"/>
          <w:color w:val="000000"/>
          <w:sz w:val="20"/>
          <w:szCs w:val="20"/>
        </w:rPr>
        <w:t>lipolymphoedema</w:t>
      </w:r>
      <w:proofErr w:type="spellEnd"/>
      <w:r w:rsidRPr="0097274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22D1C4AE" w14:textId="243BAD63" w:rsid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Pathophysiology, diagnosis and therapy.</w:t>
      </w:r>
    </w:p>
    <w:p w14:paraId="20777014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472FD15" w14:textId="704F1D30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IDIOPATHIC OEDEMA: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594C8D90" w14:textId="05E14A81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Pathophysiology, clinical picture and therapy, role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MLD and compression.</w:t>
      </w:r>
    </w:p>
    <w:p w14:paraId="74615730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DFA786" w14:textId="7E7521DD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CHRONIC INFLAMMATORY OEDEMA: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6C4FA6F2" w14:textId="379640FD" w:rsid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Rheumatic oedema, pathophysiology, MLD 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additional therapy.</w:t>
      </w:r>
    </w:p>
    <w:p w14:paraId="1A47F391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</w:p>
    <w:p w14:paraId="46C48860" w14:textId="478618E0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CONTRAINDICATIONS FOR MLD, IN PARTICULAR: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7CB0AB74" w14:textId="5F90C1B9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Acute infections</w:t>
      </w:r>
    </w:p>
    <w:p w14:paraId="20AE8684" w14:textId="4F64C8B2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Cardiac decompensation</w:t>
      </w:r>
    </w:p>
    <w:p w14:paraId="626B35B7" w14:textId="6874437B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Acute phlebothrombosis</w:t>
      </w:r>
    </w:p>
    <w:p w14:paraId="45F89D6C" w14:textId="77777777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 xml:space="preserve">• Local recurrence of </w:t>
      </w:r>
      <w:proofErr w:type="spellStart"/>
      <w:r w:rsidRPr="00972748">
        <w:rPr>
          <w:rFonts w:ascii="Arial" w:hAnsi="Arial" w:cs="Arial"/>
          <w:color w:val="000000"/>
          <w:sz w:val="20"/>
          <w:szCs w:val="20"/>
        </w:rPr>
        <w:t>tumor</w:t>
      </w:r>
      <w:proofErr w:type="spellEnd"/>
      <w:r w:rsidRPr="00972748">
        <w:rPr>
          <w:rFonts w:ascii="Arial" w:hAnsi="Arial" w:cs="Arial"/>
          <w:color w:val="000000"/>
          <w:sz w:val="20"/>
          <w:szCs w:val="20"/>
        </w:rPr>
        <w:t>, local metastasizing</w:t>
      </w:r>
    </w:p>
    <w:p w14:paraId="6DBC204F" w14:textId="4F4DB853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Acute eczema in oedema region</w:t>
      </w:r>
    </w:p>
    <w:p w14:paraId="2091A4E6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465C05" w14:textId="0D45BD91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OEDEMA THAT ONLY RESPOND TO MEDICATION AND DIETARY THERAPY: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2544F480" w14:textId="4D5D157C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Pathophysiology, role of MLD.</w:t>
      </w:r>
    </w:p>
    <w:p w14:paraId="3FC3DD50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</w:p>
    <w:p w14:paraId="61648D51" w14:textId="070E0433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PRESCRIPTION OF MLD</w:t>
      </w:r>
    </w:p>
    <w:p w14:paraId="698E4CD1" w14:textId="0CCB72CA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Prescription of compression bandaging and</w:t>
      </w:r>
    </w:p>
    <w:p w14:paraId="1325D973" w14:textId="261913C3" w:rsidR="00972748" w:rsidRPr="00972748" w:rsidRDefault="00972748" w:rsidP="00972748">
      <w:pPr>
        <w:pStyle w:val="ListParagraph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stockings: Indications for bandaging;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4B1FB7F6" w14:textId="2D33294F" w:rsidR="00972748" w:rsidRP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Different types of compression stockings,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compression devices and prostheses;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4C52CCCC" w14:textId="2854FC7E" w:rsidR="00972748" w:rsidRDefault="00972748" w:rsidP="0097274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Psychological problems in patients with oedema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post-cancer treatment.</w:t>
      </w:r>
    </w:p>
    <w:p w14:paraId="5F67266B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</w:p>
    <w:p w14:paraId="1F878361" w14:textId="2F41E04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PATIENT DEMONSTRATIONS:</w:t>
      </w:r>
      <w:r>
        <w:rPr>
          <w:rFonts w:ascii="Arial" w:hAnsi="Arial" w:cs="Arial"/>
          <w:b/>
          <w:bCs/>
          <w:color w:val="A13460"/>
          <w:sz w:val="20"/>
          <w:szCs w:val="20"/>
        </w:rPr>
        <w:br/>
      </w:r>
    </w:p>
    <w:p w14:paraId="3748601A" w14:textId="5F9FE0AB" w:rsidR="00972748" w:rsidRPr="00972748" w:rsidRDefault="00972748" w:rsidP="00A91AD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8F224F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Eight or more patients suffering from oedematous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disorders need to be presented, among them at least one case of primary oedema, one case of secondary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lymphoedema of the arm, one case of secondary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 xml:space="preserve">lymphoedema of the leg, one </w:t>
      </w:r>
      <w:proofErr w:type="spellStart"/>
      <w:r w:rsidRPr="00972748">
        <w:rPr>
          <w:rFonts w:ascii="Arial" w:hAnsi="Arial" w:cs="Arial"/>
          <w:color w:val="000000"/>
          <w:sz w:val="20"/>
          <w:szCs w:val="20"/>
        </w:rPr>
        <w:t>phleboedema</w:t>
      </w:r>
      <w:proofErr w:type="spellEnd"/>
      <w:r w:rsidRPr="00972748">
        <w:rPr>
          <w:rFonts w:ascii="Arial" w:hAnsi="Arial" w:cs="Arial"/>
          <w:color w:val="000000"/>
          <w:sz w:val="20"/>
          <w:szCs w:val="20"/>
        </w:rPr>
        <w:t xml:space="preserve"> and 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lipoedema. As a matter of principle, these patients must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be introduced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972748">
        <w:rPr>
          <w:rFonts w:ascii="Arial" w:hAnsi="Arial" w:cs="Arial"/>
          <w:color w:val="000000"/>
          <w:sz w:val="20"/>
          <w:szCs w:val="20"/>
        </w:rPr>
        <w:t>Deviations are admissible in countries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other than Germany/Austria.</w:t>
      </w:r>
      <w:r w:rsidR="00BE4E46" w:rsidRPr="00972748">
        <w:rPr>
          <w:rFonts w:ascii="Arial" w:hAnsi="Arial" w:cs="Arial"/>
          <w:b/>
          <w:bCs/>
          <w:color w:val="8F224F"/>
          <w:sz w:val="20"/>
          <w:szCs w:val="20"/>
        </w:rPr>
        <w:br w:type="column"/>
      </w:r>
    </w:p>
    <w:p w14:paraId="137AF709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8F224F"/>
          <w:sz w:val="20"/>
          <w:szCs w:val="20"/>
        </w:rPr>
      </w:pPr>
    </w:p>
    <w:p w14:paraId="74FA3D36" w14:textId="7A49C2CC" w:rsidR="00A91AD2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MINIMUM CONTENTS OF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MEDICAL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/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THEORETICAL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INSTRUCTION:</w:t>
      </w:r>
      <w:r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0F9FE092" w14:textId="77777777" w:rsidR="00BE4E46" w:rsidRDefault="00972748" w:rsidP="00972748">
      <w:pPr>
        <w:rPr>
          <w:rFonts w:ascii="Arial" w:hAnsi="Arial" w:cs="Arial"/>
          <w:color w:val="000000"/>
          <w:sz w:val="20"/>
          <w:szCs w:val="20"/>
        </w:rPr>
      </w:pPr>
      <w:r w:rsidRPr="00972748">
        <w:rPr>
          <w:rFonts w:ascii="Arial" w:hAnsi="Arial" w:cs="Arial"/>
          <w:color w:val="000000"/>
          <w:sz w:val="20"/>
          <w:szCs w:val="20"/>
        </w:rPr>
        <w:t>Anatomical and physiological basics of the circulatory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 xml:space="preserve">system (arterial, venous, lymphatic); </w:t>
      </w:r>
      <w:proofErr w:type="spellStart"/>
      <w:r w:rsidRPr="00972748">
        <w:rPr>
          <w:rFonts w:ascii="Arial" w:hAnsi="Arial" w:cs="Arial"/>
          <w:color w:val="000000"/>
          <w:sz w:val="20"/>
          <w:szCs w:val="20"/>
        </w:rPr>
        <w:t>etiology</w:t>
      </w:r>
      <w:proofErr w:type="spellEnd"/>
      <w:r w:rsidRPr="00972748">
        <w:rPr>
          <w:rFonts w:ascii="Arial" w:hAnsi="Arial" w:cs="Arial"/>
          <w:color w:val="000000"/>
          <w:sz w:val="20"/>
          <w:szCs w:val="20"/>
        </w:rPr>
        <w:t xml:space="preserve">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pathogenesis of oedema, especially in malignant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diseases; complications in lymphoedema; organ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damage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972748">
        <w:rPr>
          <w:rFonts w:ascii="Arial" w:hAnsi="Arial" w:cs="Arial"/>
          <w:color w:val="000000"/>
          <w:sz w:val="20"/>
          <w:szCs w:val="20"/>
        </w:rPr>
        <w:t>nd oedema following radiation therapy; indications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contraindications for MLD. Other medical and non-medical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color w:val="000000"/>
          <w:sz w:val="20"/>
          <w:szCs w:val="20"/>
        </w:rPr>
        <w:t>treatment options in lymphoedema in addition to MLD.</w:t>
      </w:r>
    </w:p>
    <w:p w14:paraId="03C35252" w14:textId="77777777" w:rsidR="00972748" w:rsidRDefault="00972748" w:rsidP="00972748">
      <w:pPr>
        <w:rPr>
          <w:rFonts w:ascii="Arial" w:hAnsi="Arial" w:cs="Arial"/>
          <w:color w:val="000000"/>
          <w:sz w:val="20"/>
          <w:szCs w:val="20"/>
        </w:rPr>
      </w:pPr>
    </w:p>
    <w:p w14:paraId="7739CE01" w14:textId="4641D4E0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8F224F"/>
          <w:sz w:val="20"/>
          <w:szCs w:val="20"/>
        </w:rPr>
      </w:pPr>
      <w:r w:rsidRPr="00972748">
        <w:rPr>
          <w:rFonts w:ascii="Arial" w:hAnsi="Arial" w:cs="Arial"/>
          <w:b/>
          <w:bCs/>
          <w:color w:val="8F224F"/>
          <w:sz w:val="20"/>
          <w:szCs w:val="20"/>
        </w:rPr>
        <w:t>MINIMUM CONTENTS OF PRACTICAL INSTRUCTION</w:t>
      </w:r>
      <w:r>
        <w:rPr>
          <w:rFonts w:ascii="Arial" w:hAnsi="Arial" w:cs="Arial"/>
          <w:b/>
          <w:bCs/>
          <w:color w:val="8F224F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(57 hours, 66 UI)</w:t>
      </w:r>
      <w:r>
        <w:rPr>
          <w:rFonts w:ascii="Arial" w:hAnsi="Arial" w:cs="Arial"/>
          <w:b/>
          <w:bCs/>
          <w:color w:val="8F224F"/>
          <w:sz w:val="20"/>
          <w:szCs w:val="20"/>
        </w:rPr>
        <w:br/>
      </w:r>
    </w:p>
    <w:p w14:paraId="27D4584F" w14:textId="5AF38F5A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2748">
        <w:rPr>
          <w:rFonts w:ascii="Arial" w:hAnsi="Arial" w:cs="Arial"/>
          <w:sz w:val="20"/>
          <w:szCs w:val="20"/>
        </w:rPr>
        <w:t>Repetition of practical instruction from Elementary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(Level I) Courses. Oedema strokes and special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strokes.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Lymphatic drainage and compression therapy of primary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lymphoedema of the leg, secondary lymphoedema of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arm and leg, lipoedema and venous oedema. Lymphatic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drainage and remedial exercises as well as decongestive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respiratory therapy. Treatment of ulcerations, protein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fibroses and radiation-induced fibroses.</w:t>
      </w:r>
    </w:p>
    <w:p w14:paraId="49B78240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3E7B6B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72748">
        <w:rPr>
          <w:rFonts w:ascii="Arial" w:hAnsi="Arial" w:cs="Arial"/>
          <w:sz w:val="20"/>
          <w:szCs w:val="20"/>
        </w:rPr>
        <w:t>Participants will practice on each other. Treatment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will be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demonstrated in two or more oedema patients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(at least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one secondary oedema of the arm and one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secondary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oedema of the leg, when available) by the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practical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instructor or the treating therapist including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 </w:t>
      </w:r>
      <w:r w:rsidRPr="00972748">
        <w:rPr>
          <w:rFonts w:ascii="Arial" w:hAnsi="Arial" w:cs="Arial"/>
          <w:sz w:val="20"/>
          <w:szCs w:val="20"/>
        </w:rPr>
        <w:t>bandaging of the oedematous extremity.</w:t>
      </w:r>
    </w:p>
    <w:p w14:paraId="29E5BB4A" w14:textId="54676AB8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75F9B3" w14:textId="5A209DA8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color w:val="A13460"/>
          <w:sz w:val="20"/>
          <w:szCs w:val="20"/>
        </w:rPr>
      </w:pPr>
      <w:r w:rsidRPr="00972748">
        <w:rPr>
          <w:rFonts w:ascii="Arial" w:hAnsi="Arial" w:cs="Arial"/>
          <w:b/>
          <w:bCs/>
          <w:color w:val="A13460"/>
          <w:sz w:val="20"/>
          <w:szCs w:val="20"/>
        </w:rPr>
        <w:t>FINAL EXAMINATION:</w:t>
      </w:r>
    </w:p>
    <w:p w14:paraId="74361C21" w14:textId="77777777" w:rsidR="00972748" w:rsidRDefault="00972748" w:rsidP="009727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75E160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This test includes a written, a practical and a</w:t>
      </w:r>
    </w:p>
    <w:p w14:paraId="3453E423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medical/oral examination of all training contents.</w:t>
      </w:r>
    </w:p>
    <w:p w14:paraId="1163D867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Students will pass the examination if they score</w:t>
      </w:r>
    </w:p>
    <w:p w14:paraId="3E71980C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“sufficient” in all portions of the examination.</w:t>
      </w:r>
    </w:p>
    <w:p w14:paraId="26E2D9C8" w14:textId="77777777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Each failed portion of the examination may be</w:t>
      </w:r>
    </w:p>
    <w:p w14:paraId="0570D351" w14:textId="67C983D4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2748">
        <w:rPr>
          <w:rFonts w:ascii="Arial" w:hAnsi="Arial" w:cs="Arial"/>
          <w:b/>
          <w:bCs/>
          <w:sz w:val="20"/>
          <w:szCs w:val="20"/>
        </w:rPr>
        <w:t>repeated no more than two times.</w:t>
      </w:r>
    </w:p>
    <w:p w14:paraId="4AC9FF96" w14:textId="6D4EDC93" w:rsidR="00972748" w:rsidRPr="00972748" w:rsidRDefault="00972748" w:rsidP="009727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972748" w:rsidRPr="00972748" w:rsidSect="0097274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760" w:right="821" w:bottom="1440" w:left="873" w:header="493" w:footer="720" w:gutter="0"/>
          <w:cols w:num="2" w:space="720"/>
          <w:titlePg/>
          <w:docGrid w:linePitch="360"/>
        </w:sectPr>
      </w:pPr>
    </w:p>
    <w:p w14:paraId="61DA60D4" w14:textId="38D3425E" w:rsidR="00BE4E46" w:rsidRDefault="00BE4E46">
      <w:pPr>
        <w:rPr>
          <w:rFonts w:ascii="Arial" w:hAnsi="Arial" w:cs="Arial"/>
          <w:b/>
          <w:bCs/>
          <w:color w:val="717F86"/>
          <w:sz w:val="28"/>
          <w:szCs w:val="28"/>
        </w:rPr>
      </w:pPr>
    </w:p>
    <w:p w14:paraId="43AA8C61" w14:textId="0F343B7A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A9140F">
        <w:rPr>
          <w:rFonts w:ascii="Arial" w:hAnsi="Arial" w:cs="Arial"/>
          <w:b/>
          <w:bCs/>
          <w:color w:val="717F86"/>
          <w:sz w:val="28"/>
          <w:szCs w:val="28"/>
        </w:rPr>
        <w:t>Application Form</w:t>
      </w:r>
    </w:p>
    <w:p w14:paraId="27A45B93" w14:textId="77777777" w:rsid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D84740" w14:textId="6A5DB2E1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9140F">
        <w:rPr>
          <w:rFonts w:ascii="Arial" w:hAnsi="Arial" w:cs="Arial"/>
          <w:color w:val="000000"/>
          <w:sz w:val="20"/>
          <w:szCs w:val="20"/>
        </w:rPr>
        <w:t xml:space="preserve">You may fill out this form electronically and email it back to </w:t>
      </w:r>
      <w:r w:rsidRPr="00A91AD2">
        <w:rPr>
          <w:rFonts w:ascii="Arial" w:hAnsi="Arial" w:cs="Arial"/>
          <w:b/>
          <w:bCs/>
          <w:color w:val="000000"/>
          <w:sz w:val="20"/>
          <w:szCs w:val="20"/>
        </w:rPr>
        <w:t>meadbh@thelymphclinic.ie</w:t>
      </w:r>
      <w:r w:rsidRPr="00A9140F">
        <w:rPr>
          <w:rFonts w:ascii="Arial" w:hAnsi="Arial" w:cs="Arial"/>
          <w:color w:val="000000"/>
          <w:sz w:val="20"/>
          <w:szCs w:val="20"/>
        </w:rPr>
        <w:t xml:space="preserve"> if you</w:t>
      </w:r>
    </w:p>
    <w:p w14:paraId="043205D8" w14:textId="77777777" w:rsidR="00A9140F" w:rsidRPr="00A9140F" w:rsidRDefault="00A9140F" w:rsidP="00A914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9140F">
        <w:rPr>
          <w:rFonts w:ascii="Arial" w:hAnsi="Arial" w:cs="Arial"/>
          <w:color w:val="000000"/>
          <w:sz w:val="20"/>
          <w:szCs w:val="20"/>
        </w:rPr>
        <w:t>wish to pay by Bank Transfer (see course costs and payment section).</w:t>
      </w:r>
    </w:p>
    <w:p w14:paraId="30C41732" w14:textId="77777777" w:rsidR="00EA542A" w:rsidRPr="00EA542A" w:rsidRDefault="00EA542A" w:rsidP="00A9140F">
      <w:pPr>
        <w:autoSpaceDE w:val="0"/>
        <w:autoSpaceDN w:val="0"/>
        <w:adjustRightInd w:val="0"/>
        <w:rPr>
          <w:rFonts w:ascii="Arial" w:hAnsi="Arial" w:cs="Arial"/>
          <w:color w:val="717F86"/>
          <w:sz w:val="20"/>
          <w:szCs w:val="20"/>
        </w:rPr>
      </w:pPr>
    </w:p>
    <w:p w14:paraId="7CA23763" w14:textId="5B451154" w:rsidR="00A9140F" w:rsidRDefault="00EA542A" w:rsidP="00A9140F">
      <w:pPr>
        <w:autoSpaceDE w:val="0"/>
        <w:autoSpaceDN w:val="0"/>
        <w:adjustRightInd w:val="0"/>
        <w:rPr>
          <w:rFonts w:ascii="Arial" w:hAnsi="Arial" w:cs="Arial"/>
          <w:color w:val="717F86"/>
          <w:sz w:val="28"/>
          <w:szCs w:val="28"/>
        </w:rPr>
      </w:pPr>
      <w:r>
        <w:rPr>
          <w:rFonts w:ascii="Arial" w:hAnsi="Arial" w:cs="Arial"/>
          <w:color w:val="717F86"/>
          <w:sz w:val="28"/>
          <w:szCs w:val="28"/>
        </w:rPr>
        <w:t xml:space="preserve">Please select your course. </w:t>
      </w:r>
    </w:p>
    <w:p w14:paraId="24E18134" w14:textId="13125774" w:rsidR="00EA542A" w:rsidRPr="00EA542A" w:rsidRDefault="00EA542A" w:rsidP="00EA542A">
      <w:pPr>
        <w:tabs>
          <w:tab w:val="left" w:pos="2954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129"/>
        <w:gridCol w:w="426"/>
        <w:gridCol w:w="2835"/>
        <w:gridCol w:w="1275"/>
        <w:gridCol w:w="4536"/>
      </w:tblGrid>
      <w:tr w:rsidR="00EA542A" w14:paraId="6513FDFA" w14:textId="597985D2" w:rsidTr="008205F5">
        <w:trPr>
          <w:trHeight w:val="421"/>
        </w:trPr>
        <w:tc>
          <w:tcPr>
            <w:tcW w:w="1129" w:type="dxa"/>
            <w:vAlign w:val="center"/>
          </w:tcPr>
          <w:p w14:paraId="2E4B6045" w14:textId="4533B662" w:rsidR="00EA542A" w:rsidRPr="00A91AD2" w:rsidRDefault="00972748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color w:val="8F214E"/>
                <w:sz w:val="18"/>
                <w:szCs w:val="18"/>
              </w:rPr>
              <w:t>PART 1</w:t>
            </w:r>
          </w:p>
        </w:tc>
        <w:tc>
          <w:tcPr>
            <w:tcW w:w="426" w:type="dxa"/>
            <w:vAlign w:val="center"/>
          </w:tcPr>
          <w:p w14:paraId="1CB9054B" w14:textId="77777777" w:rsidR="00EA542A" w:rsidRPr="00A91AD2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10CDA01" w14:textId="28AFBBB9" w:rsidR="00EA542A" w:rsidRPr="00EA542A" w:rsidRDefault="001C4857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  <w:vertAlign w:val="superscript"/>
              </w:rPr>
              <w:t>th</w:t>
            </w:r>
            <w:r w:rsidR="00557C1E" w:rsidRP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24</w:t>
            </w:r>
            <w:r w:rsidR="00557C1E" w:rsidRP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  <w:vertAlign w:val="superscript"/>
              </w:rPr>
              <w:t>th</w:t>
            </w:r>
            <w:r w:rsid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</w:t>
            </w:r>
            <w:r w:rsidR="002B1804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September</w:t>
            </w:r>
            <w:r w:rsid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5075651" w14:textId="442D8167" w:rsidR="00EA542A" w:rsidRPr="008205F5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13460"/>
                <w:sz w:val="18"/>
                <w:szCs w:val="18"/>
              </w:rPr>
            </w:pPr>
            <w:r w:rsidRPr="008205F5">
              <w:rPr>
                <w:rFonts w:ascii="Arial" w:hAnsi="Arial" w:cs="Arial"/>
                <w:color w:val="A13460"/>
                <w:sz w:val="18"/>
                <w:szCs w:val="18"/>
              </w:rPr>
              <w:t>LOCATION</w:t>
            </w:r>
          </w:p>
        </w:tc>
        <w:tc>
          <w:tcPr>
            <w:tcW w:w="4536" w:type="dxa"/>
            <w:vAlign w:val="center"/>
          </w:tcPr>
          <w:p w14:paraId="260FA17B" w14:textId="27963F03" w:rsidR="00EA542A" w:rsidRDefault="001C4857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TBC</w:t>
            </w:r>
          </w:p>
        </w:tc>
      </w:tr>
      <w:tr w:rsidR="00EA542A" w14:paraId="62AF203B" w14:textId="40B2BD81" w:rsidTr="008205F5">
        <w:trPr>
          <w:trHeight w:val="421"/>
        </w:trPr>
        <w:tc>
          <w:tcPr>
            <w:tcW w:w="1129" w:type="dxa"/>
            <w:vAlign w:val="center"/>
          </w:tcPr>
          <w:p w14:paraId="4B0340B4" w14:textId="7A4DCC46" w:rsidR="00EA542A" w:rsidRPr="00A91AD2" w:rsidRDefault="00972748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color w:val="8F214E"/>
                <w:sz w:val="18"/>
                <w:szCs w:val="18"/>
              </w:rPr>
              <w:t>PART 2</w:t>
            </w:r>
          </w:p>
        </w:tc>
        <w:tc>
          <w:tcPr>
            <w:tcW w:w="426" w:type="dxa"/>
            <w:vAlign w:val="center"/>
          </w:tcPr>
          <w:p w14:paraId="56D6195F" w14:textId="77777777" w:rsidR="00EA542A" w:rsidRPr="00A91AD2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8F214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E984580" w14:textId="16ED1C4E" w:rsidR="00EA542A" w:rsidRPr="00EA542A" w:rsidRDefault="001C4857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F214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27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  <w:vertAlign w:val="superscript"/>
              </w:rPr>
              <w:t>th</w:t>
            </w:r>
            <w:r w:rsidR="00557C1E" w:rsidRP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–</w:t>
            </w:r>
            <w:r w:rsidR="002B1804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3</w:t>
            </w:r>
            <w:r w:rsidR="003713D8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0</w:t>
            </w:r>
            <w:r w:rsidR="003713D8">
              <w:rPr>
                <w:rFonts w:ascii="Arial" w:hAnsi="Arial" w:cs="Arial"/>
                <w:b/>
                <w:bCs/>
                <w:color w:val="717F86"/>
                <w:sz w:val="18"/>
                <w:szCs w:val="18"/>
                <w:vertAlign w:val="superscript"/>
              </w:rPr>
              <w:t>th</w:t>
            </w:r>
            <w:r w:rsid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September</w:t>
            </w:r>
            <w:r w:rsidR="00557C1E"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03496B3A" w14:textId="397EBB1B" w:rsidR="00EA542A" w:rsidRPr="008205F5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13460"/>
                <w:sz w:val="18"/>
                <w:szCs w:val="18"/>
              </w:rPr>
            </w:pPr>
            <w:r w:rsidRPr="008205F5">
              <w:rPr>
                <w:rFonts w:ascii="Arial" w:hAnsi="Arial" w:cs="Arial"/>
                <w:color w:val="A13460"/>
                <w:sz w:val="18"/>
                <w:szCs w:val="18"/>
              </w:rPr>
              <w:t>VENUE</w:t>
            </w:r>
          </w:p>
        </w:tc>
        <w:tc>
          <w:tcPr>
            <w:tcW w:w="4536" w:type="dxa"/>
            <w:vAlign w:val="center"/>
          </w:tcPr>
          <w:p w14:paraId="241CE531" w14:textId="4CA53088" w:rsidR="00EA542A" w:rsidRDefault="00972748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17F86"/>
                <w:sz w:val="18"/>
                <w:szCs w:val="18"/>
              </w:rPr>
              <w:t>CORK</w:t>
            </w:r>
          </w:p>
        </w:tc>
      </w:tr>
    </w:tbl>
    <w:p w14:paraId="190EE56A" w14:textId="6B83E4CE" w:rsidR="00A9140F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8F214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955"/>
        <w:gridCol w:w="956"/>
        <w:gridCol w:w="956"/>
        <w:gridCol w:w="956"/>
        <w:gridCol w:w="956"/>
        <w:gridCol w:w="956"/>
        <w:gridCol w:w="956"/>
        <w:gridCol w:w="956"/>
      </w:tblGrid>
      <w:tr w:rsidR="00A9140F" w:rsidRPr="00C1796F" w14:paraId="622FCA1C" w14:textId="77777777" w:rsidTr="00EA542A">
        <w:trPr>
          <w:trHeight w:val="42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F8DF6" w14:textId="01B13DEB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D728A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40F" w:rsidRPr="00C1796F" w14:paraId="352CCA60" w14:textId="77777777" w:rsidTr="00EA542A">
        <w:trPr>
          <w:trHeight w:val="417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973EE" w14:textId="7B8FA521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479AD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40F" w:rsidRPr="00C1796F" w14:paraId="2186479C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C8744" w14:textId="16ECB68E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23DB5" w14:textId="77777777" w:rsidR="00A9140F" w:rsidRPr="00C1796F" w:rsidRDefault="00A9140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3896B782" w14:textId="77777777" w:rsidTr="00EA542A">
        <w:trPr>
          <w:trHeight w:val="44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5F301" w14:textId="3680F084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Address Line 3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14D14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46D66416" w14:textId="77777777" w:rsidTr="00EA542A">
        <w:trPr>
          <w:trHeight w:val="481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AB565" w14:textId="043C6462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40BD3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67D76BE2" w14:textId="77777777" w:rsidTr="00EA542A">
        <w:trPr>
          <w:trHeight w:val="375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A6FF1" w14:textId="2DD58F6F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5AA00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796F" w:rsidRPr="00C1796F" w14:paraId="59E3DAED" w14:textId="77777777" w:rsidTr="00D465F1">
        <w:trPr>
          <w:trHeight w:val="523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2AB8C" w14:textId="10EF317D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96F">
              <w:rPr>
                <w:rFonts w:ascii="Arial" w:hAnsi="Arial" w:cs="Arial"/>
                <w:sz w:val="18"/>
                <w:szCs w:val="18"/>
              </w:rPr>
              <w:t>Profession</w:t>
            </w:r>
          </w:p>
        </w:tc>
        <w:tc>
          <w:tcPr>
            <w:tcW w:w="764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39E12" w14:textId="77777777" w:rsidR="00C1796F" w:rsidRPr="00C1796F" w:rsidRDefault="00C1796F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542A" w:rsidRPr="00C1796F" w14:paraId="5548C73D" w14:textId="77777777" w:rsidTr="00EA542A">
        <w:trPr>
          <w:trHeight w:val="429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28D64" w14:textId="32EEF97C" w:rsidR="00EA542A" w:rsidRPr="00C1796F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 SHIRT</w:t>
            </w:r>
          </w:p>
        </w:tc>
        <w:tc>
          <w:tcPr>
            <w:tcW w:w="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3CBB8" w14:textId="63B8D288" w:rsidR="00EA542A" w:rsidRPr="00C1796F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AF8F4" w14:textId="4471A551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DA1CD" w14:textId="33187049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5045F" w14:textId="34196768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E5949E" w14:textId="4B7C4C0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33EA6" w14:textId="6BEC134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74A8E" w14:textId="539238BD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AE465" w14:textId="6DAC20B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EA542A" w:rsidRPr="00C1796F" w14:paraId="5CD37A08" w14:textId="77777777" w:rsidTr="00EA542A">
        <w:trPr>
          <w:trHeight w:val="421"/>
        </w:trPr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5960E" w14:textId="77B45B1A" w:rsidR="00EA542A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your size</w:t>
            </w:r>
          </w:p>
        </w:tc>
        <w:tc>
          <w:tcPr>
            <w:tcW w:w="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A56C7" w14:textId="202C17EA" w:rsidR="00EA542A" w:rsidRDefault="00EA542A" w:rsidP="00C1796F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FD2E8" w14:textId="569E2D1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AD41D" w14:textId="0D35D22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84176" w14:textId="79F00416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43F69" w14:textId="4705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15611" w14:textId="6D9CB2BF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54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XXL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FA97C" w14:textId="7777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5D5AF" w14:textId="77777777" w:rsidR="00EA542A" w:rsidRPr="00EA542A" w:rsidRDefault="00EA542A" w:rsidP="00EA542A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DED9B40" w14:textId="75C5573F" w:rsidR="00A9140F" w:rsidRDefault="00A9140F" w:rsidP="00A9140F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5C28C88" w14:textId="77777777" w:rsidR="00EA542A" w:rsidRPr="00EA542A" w:rsidRDefault="00EA542A" w:rsidP="00EA542A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EA542A">
        <w:rPr>
          <w:rFonts w:ascii="Arial" w:hAnsi="Arial" w:cs="Arial"/>
          <w:b/>
          <w:bCs/>
          <w:color w:val="717F86"/>
          <w:sz w:val="28"/>
          <w:szCs w:val="28"/>
        </w:rPr>
        <w:t>QUALIFICATIONS</w:t>
      </w:r>
    </w:p>
    <w:p w14:paraId="15DCB593" w14:textId="586E3425" w:rsidR="00EA542A" w:rsidRDefault="001D1772" w:rsidP="00EA542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EA542A">
        <w:rPr>
          <w:rFonts w:ascii="Arial" w:hAnsi="Arial" w:cs="Arial"/>
          <w:color w:val="000000"/>
          <w:sz w:val="18"/>
          <w:szCs w:val="18"/>
        </w:rPr>
        <w:t xml:space="preserve">lease email electronic copies of your qualifications to </w:t>
      </w:r>
      <w:r w:rsidRPr="00EA542A">
        <w:rPr>
          <w:rFonts w:ascii="Arial" w:hAnsi="Arial" w:cs="Arial"/>
          <w:b/>
          <w:bCs/>
          <w:color w:val="000000"/>
          <w:sz w:val="18"/>
          <w:szCs w:val="18"/>
        </w:rPr>
        <w:t>meadbh@thelymphclinic.ie</w:t>
      </w:r>
      <w:r w:rsidRPr="00EA542A">
        <w:rPr>
          <w:rFonts w:ascii="Arial" w:hAnsi="Arial" w:cs="Arial"/>
          <w:color w:val="000000"/>
          <w:sz w:val="18"/>
          <w:szCs w:val="18"/>
        </w:rPr>
        <w:t>. If applying by post, please send photocopies only</w:t>
      </w:r>
    </w:p>
    <w:p w14:paraId="16D34982" w14:textId="77777777" w:rsidR="001D1772" w:rsidRDefault="001D1772" w:rsidP="00EA54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3B9DC8C" w14:textId="57132E1B" w:rsidR="00C1796F" w:rsidRDefault="00C1796F" w:rsidP="00EA542A">
      <w:pPr>
        <w:autoSpaceDE w:val="0"/>
        <w:autoSpaceDN w:val="0"/>
        <w:adjustRightInd w:val="0"/>
        <w:rPr>
          <w:rFonts w:ascii="Arial" w:hAnsi="Arial" w:cs="Arial"/>
          <w:b/>
          <w:bCs/>
          <w:color w:val="717F86"/>
          <w:sz w:val="28"/>
          <w:szCs w:val="28"/>
        </w:rPr>
      </w:pPr>
      <w:r w:rsidRPr="00C1796F">
        <w:rPr>
          <w:rFonts w:ascii="Arial" w:hAnsi="Arial" w:cs="Arial"/>
          <w:b/>
          <w:bCs/>
          <w:color w:val="717F86"/>
          <w:sz w:val="28"/>
          <w:szCs w:val="28"/>
        </w:rPr>
        <w:t>COURSE COSTS AND PAYMENT</w:t>
      </w:r>
    </w:p>
    <w:p w14:paraId="28B4C1DB" w14:textId="77777777" w:rsidR="00C1796F" w:rsidRDefault="00C1796F" w:rsidP="00C179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CBC0A59" w14:textId="670E2871" w:rsidR="001C4857" w:rsidRPr="001C4857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C4857">
        <w:rPr>
          <w:rFonts w:ascii="Arial" w:hAnsi="Arial" w:cs="Arial"/>
          <w:sz w:val="18"/>
          <w:szCs w:val="18"/>
        </w:rPr>
        <w:t>Cost of the course is €1,</w:t>
      </w:r>
      <w:r>
        <w:rPr>
          <w:rFonts w:ascii="Arial" w:hAnsi="Arial" w:cs="Arial"/>
          <w:sz w:val="18"/>
          <w:szCs w:val="18"/>
        </w:rPr>
        <w:t>9</w:t>
      </w:r>
      <w:r w:rsidRPr="001C4857">
        <w:rPr>
          <w:rFonts w:ascii="Arial" w:hAnsi="Arial" w:cs="Arial"/>
          <w:sz w:val="18"/>
          <w:szCs w:val="18"/>
        </w:rPr>
        <w:t>00.00 To reserve your place on the course a deposit of €400 is required on application. The</w:t>
      </w:r>
    </w:p>
    <w:p w14:paraId="14E5BFD1" w14:textId="6FF7B63B" w:rsidR="001C4857" w:rsidRPr="001C4857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C4857">
        <w:rPr>
          <w:rFonts w:ascii="Arial" w:hAnsi="Arial" w:cs="Arial"/>
          <w:sz w:val="18"/>
          <w:szCs w:val="18"/>
        </w:rPr>
        <w:t xml:space="preserve">balance must be paid in full by 1st </w:t>
      </w:r>
      <w:r>
        <w:rPr>
          <w:rFonts w:ascii="Arial" w:hAnsi="Arial" w:cs="Arial"/>
          <w:sz w:val="18"/>
          <w:szCs w:val="18"/>
        </w:rPr>
        <w:t>July</w:t>
      </w:r>
      <w:r w:rsidRPr="001C4857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1</w:t>
      </w:r>
      <w:r w:rsidRPr="001C4857">
        <w:rPr>
          <w:rFonts w:ascii="Arial" w:hAnsi="Arial" w:cs="Arial"/>
          <w:sz w:val="18"/>
          <w:szCs w:val="18"/>
        </w:rPr>
        <w:t>. Deposits are NON-REFUNDABLE*. Payment can be made by Bank</w:t>
      </w:r>
    </w:p>
    <w:p w14:paraId="4CFC7357" w14:textId="77777777" w:rsidR="001C4857" w:rsidRPr="001C4857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C4857">
        <w:rPr>
          <w:rFonts w:ascii="Arial" w:hAnsi="Arial" w:cs="Arial"/>
          <w:sz w:val="18"/>
          <w:szCs w:val="18"/>
        </w:rPr>
        <w:t>Transfer or by sending a cheque, made payable to The Lymph Clinic. Bank transfers are preferred and can be made</w:t>
      </w:r>
    </w:p>
    <w:p w14:paraId="127F662D" w14:textId="6D17F4C8" w:rsidR="00EA542A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C4857">
        <w:rPr>
          <w:rFonts w:ascii="Arial" w:hAnsi="Arial" w:cs="Arial"/>
          <w:sz w:val="18"/>
          <w:szCs w:val="18"/>
        </w:rPr>
        <w:t>using the following details:</w:t>
      </w:r>
    </w:p>
    <w:p w14:paraId="4B167B37" w14:textId="77777777" w:rsidR="001C4857" w:rsidRPr="00EA542A" w:rsidRDefault="001C4857" w:rsidP="001C485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05714EE" w14:textId="6B6A413F" w:rsidR="00D465F1" w:rsidRPr="00EA542A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  <w:sectPr w:rsidR="00D465F1" w:rsidRPr="00EA542A" w:rsidSect="00EA542A">
          <w:type w:val="continuous"/>
          <w:pgSz w:w="11900" w:h="16840"/>
          <w:pgMar w:top="1905" w:right="821" w:bottom="1440" w:left="873" w:header="493" w:footer="720" w:gutter="0"/>
          <w:cols w:space="720"/>
          <w:titlePg/>
          <w:docGrid w:linePitch="360"/>
        </w:sectPr>
      </w:pPr>
    </w:p>
    <w:p w14:paraId="4B402100" w14:textId="4AA6657F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 w:rsidRPr="00D465F1">
        <w:rPr>
          <w:rFonts w:ascii="Arial" w:hAnsi="Arial" w:cs="Arial"/>
          <w:color w:val="717F86"/>
          <w:sz w:val="18"/>
          <w:szCs w:val="18"/>
        </w:rPr>
        <w:t>CHEQUES</w:t>
      </w:r>
      <w:r w:rsidR="0058181C">
        <w:rPr>
          <w:rFonts w:ascii="Arial" w:hAnsi="Arial" w:cs="Arial"/>
          <w:color w:val="717F86"/>
          <w:sz w:val="18"/>
          <w:szCs w:val="18"/>
        </w:rPr>
        <w:t xml:space="preserve">                                                                  </w:t>
      </w:r>
    </w:p>
    <w:p w14:paraId="763EDF01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465F1">
        <w:rPr>
          <w:rFonts w:ascii="Arial" w:hAnsi="Arial" w:cs="Arial"/>
          <w:b/>
          <w:bCs/>
          <w:color w:val="000000"/>
          <w:sz w:val="18"/>
          <w:szCs w:val="18"/>
        </w:rPr>
        <w:t>Cheques should be crossed and made payable to The Lymph Clinic</w:t>
      </w:r>
    </w:p>
    <w:p w14:paraId="54EEBA76" w14:textId="77777777" w:rsid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64FE19AE" w14:textId="59C0CFBF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 w:rsidRPr="00D465F1">
        <w:rPr>
          <w:rFonts w:ascii="Arial" w:hAnsi="Arial" w:cs="Arial"/>
          <w:color w:val="717F86"/>
          <w:sz w:val="18"/>
          <w:szCs w:val="18"/>
        </w:rPr>
        <w:t>BANK TRANSFER</w:t>
      </w:r>
    </w:p>
    <w:p w14:paraId="032C0CD8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Account Name: The Lymph Clinic Ltd.</w:t>
      </w:r>
    </w:p>
    <w:p w14:paraId="4BF56BC5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Branch: AIB Western Road, Cork</w:t>
      </w:r>
    </w:p>
    <w:p w14:paraId="21345257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NSC: 934194</w:t>
      </w:r>
    </w:p>
    <w:p w14:paraId="6F47A20E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Account Number: 30706069</w:t>
      </w:r>
    </w:p>
    <w:p w14:paraId="2A20D3BF" w14:textId="77777777" w:rsidR="00D465F1" w:rsidRPr="00D465F1" w:rsidRDefault="00D465F1" w:rsidP="00D465F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BIC/Swift Code: AIB KIE 2D</w:t>
      </w:r>
    </w:p>
    <w:p w14:paraId="5FF12676" w14:textId="6574262B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5F1">
        <w:rPr>
          <w:rFonts w:ascii="Arial" w:hAnsi="Arial" w:cs="Arial"/>
          <w:color w:val="000000"/>
          <w:sz w:val="18"/>
          <w:szCs w:val="18"/>
        </w:rPr>
        <w:t>IBAN: IE85 AIBK 934194 30706069</w:t>
      </w:r>
    </w:p>
    <w:p w14:paraId="349292A4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3E92FA4" w14:textId="07CAE3A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465F1">
        <w:rPr>
          <w:rFonts w:ascii="Arial" w:hAnsi="Arial" w:cs="Arial"/>
          <w:b/>
          <w:bCs/>
          <w:sz w:val="16"/>
          <w:szCs w:val="16"/>
        </w:rPr>
        <w:t>PLEASE USE YOUR SURNAME AS REFERENCE</w:t>
      </w:r>
    </w:p>
    <w:p w14:paraId="7D15D465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0959162A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065DD88B" w14:textId="77777777" w:rsidR="005B58C4" w:rsidRDefault="005B58C4" w:rsidP="0058181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p w14:paraId="72537C6A" w14:textId="5D00FF56" w:rsidR="0058181C" w:rsidRDefault="00EA542A" w:rsidP="0058181C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  <w:r>
        <w:rPr>
          <w:rFonts w:ascii="Arial" w:hAnsi="Arial" w:cs="Arial"/>
          <w:color w:val="717F86"/>
          <w:sz w:val="18"/>
          <w:szCs w:val="18"/>
        </w:rPr>
        <w:br w:type="column"/>
      </w:r>
      <w:r w:rsidR="0058181C">
        <w:rPr>
          <w:rFonts w:ascii="Arial" w:hAnsi="Arial" w:cs="Arial"/>
          <w:color w:val="717F86"/>
          <w:sz w:val="18"/>
          <w:szCs w:val="18"/>
        </w:rPr>
        <w:t xml:space="preserve">REMEMBER TO ENCLOSE                                                                        </w:t>
      </w:r>
    </w:p>
    <w:p w14:paraId="4B88AC39" w14:textId="77777777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color w:val="717F86"/>
          <w:sz w:val="18"/>
          <w:szCs w:val="18"/>
        </w:rPr>
      </w:pPr>
    </w:p>
    <w:tbl>
      <w:tblPr>
        <w:tblStyle w:val="TableGrid"/>
        <w:tblW w:w="4735" w:type="dxa"/>
        <w:tblLook w:val="04A0" w:firstRow="1" w:lastRow="0" w:firstColumn="1" w:lastColumn="0" w:noHBand="0" w:noVBand="1"/>
      </w:tblPr>
      <w:tblGrid>
        <w:gridCol w:w="421"/>
        <w:gridCol w:w="4314"/>
      </w:tblGrid>
      <w:tr w:rsidR="00D465F1" w:rsidRPr="00D465F1" w14:paraId="39A60499" w14:textId="77777777" w:rsidTr="00D465F1">
        <w:trPr>
          <w:trHeight w:val="567"/>
        </w:trPr>
        <w:tc>
          <w:tcPr>
            <w:tcW w:w="421" w:type="dxa"/>
            <w:vAlign w:val="center"/>
          </w:tcPr>
          <w:p w14:paraId="2A1B0AC4" w14:textId="77777777" w:rsidR="00D465F1" w:rsidRPr="00D465F1" w:rsidRDefault="00D465F1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14:paraId="6A78DC3D" w14:textId="618E0397" w:rsidR="00D465F1" w:rsidRPr="00D465F1" w:rsidRDefault="00D465F1" w:rsidP="00D46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THIS COMPLETED FORM.</w:t>
            </w:r>
            <w:r w:rsidRPr="00D465F1">
              <w:rPr>
                <w:rFonts w:ascii="Arial" w:hAnsi="Arial" w:cs="Arial"/>
                <w:color w:val="8F224F"/>
                <w:sz w:val="16"/>
                <w:szCs w:val="16"/>
              </w:rPr>
              <w:t xml:space="preserve"> </w:t>
            </w:r>
            <w:r w:rsidRPr="00D465F1">
              <w:rPr>
                <w:rFonts w:ascii="Arial" w:hAnsi="Arial" w:cs="Arial"/>
                <w:color w:val="000000"/>
                <w:sz w:val="16"/>
                <w:szCs w:val="16"/>
              </w:rPr>
              <w:t>If returning by email please ensure all relevant fields are completed.</w:t>
            </w:r>
          </w:p>
        </w:tc>
      </w:tr>
      <w:tr w:rsidR="001C4857" w:rsidRPr="00D465F1" w14:paraId="060E0596" w14:textId="77777777" w:rsidTr="001C4857">
        <w:trPr>
          <w:trHeight w:val="580"/>
        </w:trPr>
        <w:tc>
          <w:tcPr>
            <w:tcW w:w="421" w:type="dxa"/>
            <w:vAlign w:val="center"/>
          </w:tcPr>
          <w:p w14:paraId="310B45C3" w14:textId="77777777" w:rsidR="001C4857" w:rsidRPr="00D465F1" w:rsidRDefault="001C4857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4" w:type="dxa"/>
            <w:vAlign w:val="center"/>
          </w:tcPr>
          <w:p w14:paraId="18801E10" w14:textId="785942A8" w:rsidR="001C4857" w:rsidRPr="00D465F1" w:rsidRDefault="001C4857" w:rsidP="00D465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CHEQUE</w:t>
            </w:r>
            <w:r w:rsidRPr="00D465F1">
              <w:rPr>
                <w:rFonts w:ascii="Arial" w:hAnsi="Arial" w:cs="Arial"/>
                <w:color w:val="8F224F"/>
                <w:sz w:val="16"/>
                <w:szCs w:val="16"/>
              </w:rPr>
              <w:t xml:space="preserve"> </w:t>
            </w:r>
            <w:r w:rsidRPr="00D465F1">
              <w:rPr>
                <w:rFonts w:ascii="Arial" w:hAnsi="Arial" w:cs="Arial"/>
                <w:color w:val="000000"/>
                <w:sz w:val="16"/>
                <w:szCs w:val="16"/>
              </w:rPr>
              <w:t xml:space="preserve">or </w:t>
            </w:r>
            <w:r w:rsidRPr="00D465F1">
              <w:rPr>
                <w:rFonts w:ascii="Arial" w:hAnsi="Arial" w:cs="Arial"/>
                <w:b/>
                <w:bCs/>
                <w:color w:val="8F224F"/>
                <w:sz w:val="16"/>
                <w:szCs w:val="16"/>
              </w:rPr>
              <w:t>BANK TRANSFER REFERENCE</w:t>
            </w:r>
          </w:p>
        </w:tc>
      </w:tr>
      <w:tr w:rsidR="001C4857" w:rsidRPr="00D465F1" w14:paraId="5AED5914" w14:textId="77777777" w:rsidTr="001C4857">
        <w:trPr>
          <w:trHeight w:val="546"/>
        </w:trPr>
        <w:tc>
          <w:tcPr>
            <w:tcW w:w="421" w:type="dxa"/>
            <w:vAlign w:val="center"/>
          </w:tcPr>
          <w:p w14:paraId="62F900B1" w14:textId="77777777" w:rsidR="001C4857" w:rsidRPr="00D465F1" w:rsidRDefault="001C4857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vAlign w:val="center"/>
          </w:tcPr>
          <w:p w14:paraId="059C5ECC" w14:textId="4417DE7A" w:rsidR="001C4857" w:rsidRPr="00D465F1" w:rsidRDefault="001C4857" w:rsidP="00D465F1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465F1">
              <w:rPr>
                <w:rFonts w:ascii="Arial" w:hAnsi="Arial" w:cs="Arial"/>
                <w:sz w:val="16"/>
                <w:szCs w:val="16"/>
              </w:rPr>
              <w:t>PLEASE TICK TO CONFIRM YOU HAVE READ REFUND POLICY</w:t>
            </w:r>
          </w:p>
        </w:tc>
      </w:tr>
    </w:tbl>
    <w:p w14:paraId="5377410B" w14:textId="5A645DA1" w:rsidR="00D465F1" w:rsidRDefault="00D465F1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768D828" w14:textId="77777777" w:rsidR="00EA542A" w:rsidRPr="00D465F1" w:rsidRDefault="00EA542A" w:rsidP="00D465F1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EA542A" w:rsidRPr="00D465F1" w:rsidSect="004E1BFA">
      <w:type w:val="continuous"/>
      <w:pgSz w:w="11900" w:h="16840"/>
      <w:pgMar w:top="2185" w:right="821" w:bottom="1440" w:left="873" w:header="493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37D7D" w14:textId="77777777" w:rsidR="002421B9" w:rsidRDefault="002421B9" w:rsidP="00A9140F">
      <w:r>
        <w:separator/>
      </w:r>
    </w:p>
  </w:endnote>
  <w:endnote w:type="continuationSeparator" w:id="0">
    <w:p w14:paraId="6035813A" w14:textId="77777777" w:rsidR="002421B9" w:rsidRDefault="002421B9" w:rsidP="00A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5A894" w14:textId="03F7A55B" w:rsidR="00A9140F" w:rsidRDefault="00A9140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8F3D9B" wp14:editId="05981AB9">
          <wp:simplePos x="0" y="0"/>
          <wp:positionH relativeFrom="column">
            <wp:posOffset>-570523</wp:posOffset>
          </wp:positionH>
          <wp:positionV relativeFrom="paragraph">
            <wp:posOffset>-281305</wp:posOffset>
          </wp:positionV>
          <wp:extent cx="7569432" cy="903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61AD" w14:textId="7C0DBC15" w:rsidR="00A9140F" w:rsidRDefault="00A9140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577AD" wp14:editId="45A289CF">
          <wp:simplePos x="0" y="0"/>
          <wp:positionH relativeFrom="column">
            <wp:posOffset>-546686</wp:posOffset>
          </wp:positionH>
          <wp:positionV relativeFrom="paragraph">
            <wp:posOffset>-217805</wp:posOffset>
          </wp:positionV>
          <wp:extent cx="7569432" cy="903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11BAE" w14:textId="77777777" w:rsidR="00BE4E46" w:rsidRDefault="00BE4E46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32FBF51" wp14:editId="19CB5973">
          <wp:simplePos x="0" y="0"/>
          <wp:positionH relativeFrom="column">
            <wp:posOffset>-570523</wp:posOffset>
          </wp:positionH>
          <wp:positionV relativeFrom="paragraph">
            <wp:posOffset>-281305</wp:posOffset>
          </wp:positionV>
          <wp:extent cx="7569432" cy="9038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2" cy="90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2825" w14:textId="77777777" w:rsidR="00BE4E46" w:rsidRDefault="00BE4E4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646BA7B" wp14:editId="326CB3A3">
          <wp:simplePos x="0" y="0"/>
          <wp:positionH relativeFrom="column">
            <wp:posOffset>-930031</wp:posOffset>
          </wp:positionH>
          <wp:positionV relativeFrom="paragraph">
            <wp:posOffset>-218390</wp:posOffset>
          </wp:positionV>
          <wp:extent cx="7569432" cy="903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695" cy="96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4A8B" w14:textId="77777777" w:rsidR="002421B9" w:rsidRDefault="002421B9" w:rsidP="00A9140F">
      <w:r>
        <w:separator/>
      </w:r>
    </w:p>
  </w:footnote>
  <w:footnote w:type="continuationSeparator" w:id="0">
    <w:p w14:paraId="7F7F4643" w14:textId="77777777" w:rsidR="002421B9" w:rsidRDefault="002421B9" w:rsidP="00A9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A57B" w14:textId="255C43AC" w:rsidR="00A91AD2" w:rsidRDefault="00A91AD2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77586F2B" wp14:editId="7AF12FAB">
          <wp:simplePos x="0" y="0"/>
          <wp:positionH relativeFrom="column">
            <wp:posOffset>5017477</wp:posOffset>
          </wp:positionH>
          <wp:positionV relativeFrom="paragraph">
            <wp:posOffset>-73660</wp:posOffset>
          </wp:positionV>
          <wp:extent cx="1695450" cy="1388502"/>
          <wp:effectExtent l="0" t="0" r="0" b="0"/>
          <wp:wrapNone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88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1A9BA" w14:textId="0C39ED96" w:rsidR="00A9140F" w:rsidRDefault="00A9140F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</w:p>
  <w:p w14:paraId="52C5AF01" w14:textId="43BA3EA0" w:rsidR="004E1BFA" w:rsidRPr="00A91AD2" w:rsidRDefault="004E1BFA" w:rsidP="004E1BFA">
    <w:pPr>
      <w:autoSpaceDE w:val="0"/>
      <w:autoSpaceDN w:val="0"/>
      <w:adjustRightInd w:val="0"/>
      <w:rPr>
        <w:rFonts w:ascii="Arial" w:hAnsi="Arial" w:cs="Arial"/>
        <w:b/>
        <w:bCs/>
        <w:color w:val="808080" w:themeColor="background1" w:themeShade="80"/>
        <w:sz w:val="48"/>
        <w:szCs w:val="48"/>
      </w:rPr>
    </w:pPr>
    <w:r w:rsidRPr="00A91AD2">
      <w:rPr>
        <w:rFonts w:ascii="Arial" w:hAnsi="Arial" w:cs="Arial"/>
        <w:b/>
        <w:bCs/>
        <w:color w:val="808080" w:themeColor="background1" w:themeShade="80"/>
        <w:sz w:val="48"/>
        <w:szCs w:val="48"/>
      </w:rPr>
      <w:t>Course details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BD34" w14:textId="38BCE6ED" w:rsidR="00A9140F" w:rsidRDefault="00A9140F" w:rsidP="004E1BF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BEBF17" wp14:editId="52C7B159">
          <wp:simplePos x="0" y="0"/>
          <wp:positionH relativeFrom="column">
            <wp:posOffset>4899967</wp:posOffset>
          </wp:positionH>
          <wp:positionV relativeFrom="paragraph">
            <wp:posOffset>-160703</wp:posOffset>
          </wp:positionV>
          <wp:extent cx="1899075" cy="1555262"/>
          <wp:effectExtent l="0" t="0" r="635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19" cy="155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78346" w14:textId="77777777" w:rsidR="00A91AD2" w:rsidRDefault="004E1BFA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  <w:r w:rsidR="00A91AD2">
      <w:rPr>
        <w:rFonts w:ascii="Arial" w:hAnsi="Arial" w:cs="Arial"/>
        <w:b/>
        <w:bCs/>
        <w:color w:val="8F224F"/>
        <w:sz w:val="48"/>
        <w:szCs w:val="48"/>
      </w:rPr>
      <w:t>COURSES</w:t>
    </w:r>
  </w:p>
  <w:p w14:paraId="6E109610" w14:textId="212D8DEC" w:rsidR="004E1BFA" w:rsidRPr="00A91AD2" w:rsidRDefault="004E1BFA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08080" w:themeColor="background1" w:themeShade="80"/>
        <w:sz w:val="48"/>
        <w:szCs w:val="48"/>
      </w:rPr>
    </w:pPr>
    <w:r w:rsidRPr="00A91AD2">
      <w:rPr>
        <w:rFonts w:ascii="Arial" w:hAnsi="Arial" w:cs="Arial"/>
        <w:b/>
        <w:bCs/>
        <w:color w:val="808080" w:themeColor="background1" w:themeShade="80"/>
        <w:sz w:val="48"/>
        <w:szCs w:val="48"/>
      </w:rPr>
      <w:t xml:space="preserve">LEVEL </w:t>
    </w:r>
    <w:r w:rsidR="00972748">
      <w:rPr>
        <w:rFonts w:ascii="Arial" w:hAnsi="Arial" w:cs="Arial"/>
        <w:b/>
        <w:bCs/>
        <w:color w:val="808080" w:themeColor="background1" w:themeShade="80"/>
        <w:sz w:val="48"/>
        <w:szCs w:val="4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AB7F" w14:textId="77777777" w:rsidR="00A91AD2" w:rsidRDefault="00A91AD2" w:rsidP="004E1BFA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60378" wp14:editId="7FDFED07">
          <wp:simplePos x="0" y="0"/>
          <wp:positionH relativeFrom="column">
            <wp:posOffset>4899967</wp:posOffset>
          </wp:positionH>
          <wp:positionV relativeFrom="paragraph">
            <wp:posOffset>-160703</wp:posOffset>
          </wp:positionV>
          <wp:extent cx="1899075" cy="1555262"/>
          <wp:effectExtent l="0" t="0" r="6350" b="0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19" cy="155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0F058" w14:textId="77777777" w:rsidR="00A91AD2" w:rsidRPr="00A9140F" w:rsidRDefault="00A91AD2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- LEVEL </w:t>
    </w:r>
    <w:r>
      <w:rPr>
        <w:rFonts w:ascii="Arial" w:hAnsi="Arial" w:cs="Arial"/>
        <w:b/>
        <w:bCs/>
        <w:color w:val="8F224F"/>
        <w:sz w:val="48"/>
        <w:szCs w:val="48"/>
      </w:rPr>
      <w:t>1</w:t>
    </w:r>
  </w:p>
  <w:p w14:paraId="14612535" w14:textId="77777777" w:rsidR="00A91AD2" w:rsidRPr="004E1BFA" w:rsidRDefault="00A91AD2" w:rsidP="004E1BFA">
    <w:pPr>
      <w:autoSpaceDE w:val="0"/>
      <w:autoSpaceDN w:val="0"/>
      <w:adjustRightInd w:val="0"/>
      <w:rPr>
        <w:rFonts w:ascii="Arial" w:hAnsi="Arial" w:cs="Arial"/>
        <w:color w:val="717F86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>Minimum prerequisites for admission to</w:t>
    </w:r>
  </w:p>
  <w:p w14:paraId="6DDD0F6F" w14:textId="77777777" w:rsidR="00A91AD2" w:rsidRPr="004E1BFA" w:rsidRDefault="00A91AD2" w:rsidP="004E1BFA">
    <w:pPr>
      <w:pStyle w:val="Header"/>
      <w:rPr>
        <w:rFonts w:ascii="Arial" w:hAnsi="Arial" w:cs="Arial"/>
        <w:sz w:val="32"/>
        <w:szCs w:val="32"/>
      </w:rPr>
    </w:pPr>
    <w:r w:rsidRPr="004E1BFA">
      <w:rPr>
        <w:rFonts w:ascii="Arial" w:hAnsi="Arial" w:cs="Arial"/>
        <w:color w:val="717F86"/>
        <w:sz w:val="32"/>
        <w:szCs w:val="32"/>
      </w:rPr>
      <w:t xml:space="preserve">Dr </w:t>
    </w:r>
    <w:proofErr w:type="spellStart"/>
    <w:r w:rsidRPr="004E1BFA">
      <w:rPr>
        <w:rFonts w:ascii="Arial" w:hAnsi="Arial" w:cs="Arial"/>
        <w:color w:val="717F86"/>
        <w:sz w:val="32"/>
        <w:szCs w:val="32"/>
      </w:rPr>
      <w:t>Vodder</w:t>
    </w:r>
    <w:proofErr w:type="spellEnd"/>
    <w:r w:rsidRPr="004E1BFA">
      <w:rPr>
        <w:rFonts w:ascii="Arial" w:hAnsi="Arial" w:cs="Arial"/>
        <w:color w:val="717F86"/>
        <w:sz w:val="32"/>
        <w:szCs w:val="32"/>
      </w:rPr>
      <w:t xml:space="preserve"> Ireland MLD courses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43F4" w14:textId="77777777" w:rsidR="00BE4E46" w:rsidRDefault="00BE4E46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1F860F8" wp14:editId="40ACE090">
          <wp:simplePos x="0" y="0"/>
          <wp:positionH relativeFrom="column">
            <wp:posOffset>5111213</wp:posOffset>
          </wp:positionH>
          <wp:positionV relativeFrom="paragraph">
            <wp:posOffset>-97790</wp:posOffset>
          </wp:positionV>
          <wp:extent cx="1179488" cy="965557"/>
          <wp:effectExtent l="0" t="0" r="1905" b="0"/>
          <wp:wrapNone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488" cy="965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</w:t>
    </w:r>
  </w:p>
  <w:p w14:paraId="5E5D9C50" w14:textId="77777777" w:rsidR="00BE4E46" w:rsidRPr="004E1BFA" w:rsidRDefault="00BE4E46" w:rsidP="004E1BFA">
    <w:pPr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>
      <w:rPr>
        <w:rFonts w:ascii="Arial" w:hAnsi="Arial" w:cs="Arial"/>
        <w:b/>
        <w:bCs/>
        <w:color w:val="8F224F"/>
        <w:sz w:val="48"/>
        <w:szCs w:val="48"/>
      </w:rPr>
      <w:t>Course details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7A19" w14:textId="77777777" w:rsidR="00BE4E46" w:rsidRDefault="00BE4E46" w:rsidP="004E1BFA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9334E25" wp14:editId="6E2ADF36">
          <wp:simplePos x="0" y="0"/>
          <wp:positionH relativeFrom="column">
            <wp:posOffset>5346259</wp:posOffset>
          </wp:positionH>
          <wp:positionV relativeFrom="paragraph">
            <wp:posOffset>-156747</wp:posOffset>
          </wp:positionV>
          <wp:extent cx="1453173" cy="1190087"/>
          <wp:effectExtent l="0" t="0" r="0" b="3810"/>
          <wp:wrapNone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386" cy="1200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6C649" w14:textId="1D85946E" w:rsidR="00BE4E46" w:rsidRPr="00A9140F" w:rsidRDefault="00BE4E46" w:rsidP="004E1BFA">
    <w:pPr>
      <w:tabs>
        <w:tab w:val="left" w:pos="2268"/>
      </w:tabs>
      <w:autoSpaceDE w:val="0"/>
      <w:autoSpaceDN w:val="0"/>
      <w:adjustRightInd w:val="0"/>
      <w:rPr>
        <w:rFonts w:ascii="Arial" w:hAnsi="Arial" w:cs="Arial"/>
        <w:b/>
        <w:bCs/>
        <w:color w:val="8F224F"/>
        <w:sz w:val="48"/>
        <w:szCs w:val="48"/>
      </w:rPr>
    </w:pPr>
    <w:r w:rsidRPr="00A9140F">
      <w:rPr>
        <w:rFonts w:ascii="Arial" w:hAnsi="Arial" w:cs="Arial"/>
        <w:b/>
        <w:bCs/>
        <w:color w:val="8F224F"/>
        <w:sz w:val="48"/>
        <w:szCs w:val="48"/>
      </w:rPr>
      <w:t xml:space="preserve">MLD TUITION - LEVEL </w:t>
    </w:r>
    <w:r w:rsidR="00972748">
      <w:rPr>
        <w:rFonts w:ascii="Arial" w:hAnsi="Arial" w:cs="Arial"/>
        <w:b/>
        <w:bCs/>
        <w:color w:val="8F224F"/>
        <w:sz w:val="48"/>
        <w:szCs w:val="48"/>
      </w:rPr>
      <w:t>3</w:t>
    </w:r>
  </w:p>
  <w:p w14:paraId="08770324" w14:textId="289C1286" w:rsidR="00BE4E46" w:rsidRPr="004E1BFA" w:rsidRDefault="00BE4E46" w:rsidP="004E1BFA">
    <w:pPr>
      <w:pStyle w:val="Head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AEF"/>
    <w:multiLevelType w:val="hybridMultilevel"/>
    <w:tmpl w:val="B478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28C6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87B"/>
    <w:multiLevelType w:val="hybridMultilevel"/>
    <w:tmpl w:val="3AC6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3132"/>
    <w:multiLevelType w:val="hybridMultilevel"/>
    <w:tmpl w:val="01661FB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F08E4EE">
      <w:numFmt w:val="bullet"/>
      <w:lvlText w:val="•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021FC7"/>
    <w:multiLevelType w:val="hybridMultilevel"/>
    <w:tmpl w:val="3516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2935"/>
    <w:multiLevelType w:val="hybridMultilevel"/>
    <w:tmpl w:val="C050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18B4"/>
    <w:multiLevelType w:val="hybridMultilevel"/>
    <w:tmpl w:val="B1EE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6AD2"/>
    <w:multiLevelType w:val="hybridMultilevel"/>
    <w:tmpl w:val="A962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A2989"/>
    <w:multiLevelType w:val="hybridMultilevel"/>
    <w:tmpl w:val="F5845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18F3"/>
    <w:multiLevelType w:val="hybridMultilevel"/>
    <w:tmpl w:val="BAAC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0F"/>
    <w:rsid w:val="00092D37"/>
    <w:rsid w:val="000D1994"/>
    <w:rsid w:val="000D36EB"/>
    <w:rsid w:val="00146A6B"/>
    <w:rsid w:val="001C4857"/>
    <w:rsid w:val="001D1772"/>
    <w:rsid w:val="002421B9"/>
    <w:rsid w:val="00244BFD"/>
    <w:rsid w:val="002A20AA"/>
    <w:rsid w:val="002B1804"/>
    <w:rsid w:val="002E6DC7"/>
    <w:rsid w:val="003374D8"/>
    <w:rsid w:val="003713D8"/>
    <w:rsid w:val="0039611A"/>
    <w:rsid w:val="004A2DEE"/>
    <w:rsid w:val="004E1BFA"/>
    <w:rsid w:val="00557C1E"/>
    <w:rsid w:val="0058181C"/>
    <w:rsid w:val="00592AD9"/>
    <w:rsid w:val="005B2FBC"/>
    <w:rsid w:val="005B58C4"/>
    <w:rsid w:val="006134CE"/>
    <w:rsid w:val="007136D8"/>
    <w:rsid w:val="008205F5"/>
    <w:rsid w:val="00891CF5"/>
    <w:rsid w:val="008B107D"/>
    <w:rsid w:val="00972748"/>
    <w:rsid w:val="009D2A7E"/>
    <w:rsid w:val="00A9140F"/>
    <w:rsid w:val="00A91AD2"/>
    <w:rsid w:val="00BE4E46"/>
    <w:rsid w:val="00C1796F"/>
    <w:rsid w:val="00C23D00"/>
    <w:rsid w:val="00C330AD"/>
    <w:rsid w:val="00CD7C56"/>
    <w:rsid w:val="00D465F1"/>
    <w:rsid w:val="00D6793A"/>
    <w:rsid w:val="00D93CD7"/>
    <w:rsid w:val="00E45E05"/>
    <w:rsid w:val="00EA542A"/>
    <w:rsid w:val="00E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471DD"/>
  <w14:defaultImageDpi w14:val="32767"/>
  <w15:chartTrackingRefBased/>
  <w15:docId w15:val="{F111EC4B-B404-2143-B9E1-941D2D3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0F"/>
  </w:style>
  <w:style w:type="paragraph" w:styleId="Footer">
    <w:name w:val="footer"/>
    <w:basedOn w:val="Normal"/>
    <w:link w:val="FooterChar"/>
    <w:uiPriority w:val="99"/>
    <w:unhideWhenUsed/>
    <w:rsid w:val="00A91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0F"/>
  </w:style>
  <w:style w:type="table" w:styleId="TableGrid">
    <w:name w:val="Table Grid"/>
    <w:basedOn w:val="TableNormal"/>
    <w:uiPriority w:val="39"/>
    <w:rsid w:val="00A9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Callaghan</dc:creator>
  <cp:keywords/>
  <dc:description/>
  <cp:lastModifiedBy>Lee Callaghan</cp:lastModifiedBy>
  <cp:revision>6</cp:revision>
  <dcterms:created xsi:type="dcterms:W3CDTF">2021-01-21T10:56:00Z</dcterms:created>
  <dcterms:modified xsi:type="dcterms:W3CDTF">2021-01-28T13:11:00Z</dcterms:modified>
</cp:coreProperties>
</file>